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（1）单房差补450元/人，退房差200元/人
                <w:br/>
                （2）参考酒店宜昌君鼎智尚、宜锦美怡、夷陵华美达、凯莎国际或同级；恩施美豪丽致、住景、美豪、华盛或同级，宣恩澜庭、源达、新欣、上悦、宣恩国际或同级。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2026-09-07T18:03:48+08:00</dcterms:created>
  <dcterms:modified xsi:type="dcterms:W3CDTF">2026-09-07T18:03:48+08:00</dcterms:modified>
</cp:coreProperties>
</file>

<file path=docProps/custom.xml><?xml version="1.0" encoding="utf-8"?>
<Properties xmlns="http://schemas.openxmlformats.org/officeDocument/2006/custom-properties" xmlns:vt="http://schemas.openxmlformats.org/officeDocument/2006/docPropsVTypes"/>
</file>