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【海参崴7-9月】俄罗斯远东海参崴5天经典休闲游（国航配广州联运）|符拉迪沃斯托克火车站|乌苏里湾玻璃海滩|潜水艇C-56博物馆|英雄纪念碑|海参崴历史博物馆行程单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HSWBJCA20260720-XY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12:45-17:00或CA809 PEKVVO 11:00-15:10
                <w:br/>
                海参崴-北京  CA0812 VVOPEK 18:10 18:50或 CA810 VVOPEK 16:40-17:45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北京（具体往返联运时间待定）
                <w:br/>
                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北京首都机场-海参崴  参考国际航班：CA0811 PEKVVO 12:45 17:00或 CA809 PEKVVO 11:00-15:10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海参崴-北京-全国各地  参考国际航班 CA0812 VVOPEK 18:10 18:50或 CA810 VVOPEK 16:40 17:45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br/>
                8、境外服务费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
                <w:br/>
                5、65 岁以上〈含 65 岁）老年人报名需签署健康承诺函；
                <w:br/>
                中国大陆护照紧急救援医疗保险 200 元（70 周岁以上人员报名必须买此项保险）
                <w:br/>
                6、行程中未标注的境外自愿参加的收费景点
                <w:br/>
                7、因疫情防疫等旅程中产生不可抗力因素的额外费用；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10 人一桌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10 人以上（如因天气或海上活动原因无法游船，则费用原路退回）</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10 人以上（周一和周三闭馆）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10 人以上（博物馆周一和周二闭馆）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全鱼宴</w:t>
            </w:r>
          </w:p>
        </w:tc>
        <w:tc>
          <w:tcPr/>
          <w:p>
            <w:pPr>
              <w:pStyle w:val="indent"/>
            </w:pPr>
            <w:r>
              <w:rPr>
                <w:rFonts w:ascii="宋体" w:hAnsi="宋体" w:eastAsia="宋体" w:cs="宋体"/>
                <w:color w:val="000000"/>
                <w:sz w:val="20"/>
                <w:szCs w:val="20"/>
              </w:rPr>
              <w:t xml:space="preserve">10 人以上</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射击(非实弹）</w:t>
            </w:r>
          </w:p>
        </w:tc>
        <w:tc>
          <w:tcPr/>
          <w:p>
            <w:pPr>
              <w:pStyle w:val="indent"/>
            </w:pPr>
            <w:r>
              <w:rPr>
                <w:rFonts w:ascii="宋体" w:hAnsi="宋体" w:eastAsia="宋体" w:cs="宋体"/>
                <w:color w:val="000000"/>
                <w:sz w:val="20"/>
                <w:szCs w:val="20"/>
              </w:rPr>
              <w:t xml:space="preserve">20 发子弹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2026-07-22T10:48:35+08:00</dcterms:created>
  <dcterms:modified xsi:type="dcterms:W3CDTF">2026-07-22T10:48:35+08:00</dcterms:modified>
</cp:coreProperties>
</file>

<file path=docProps/custom.xml><?xml version="1.0" encoding="utf-8"?>
<Properties xmlns="http://schemas.openxmlformats.org/officeDocument/2006/custom-properties" xmlns:vt="http://schemas.openxmlformats.org/officeDocument/2006/docPropsVTypes"/>
</file>