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【CZ纯享新马A】新加坡、马来西亚双飞5天(新进马出)行程单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
                <w:br/>
                第一天 广州-新加坡  CZ353 /0820 -1230
                <w:br/>
                第五天 吉隆坡-广州 CZ350 / 1400 -1810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【打卡星耀樟宜】（自行游览约60分钟，不含付费区域门票）星耀的核心景点，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30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【滨海湾花园】（约40分钟）几颗高50余米的人造天空树再滨海湾拔地而起。阿凡达电影场景重现
                <w:br/>
                【超级树灯光秀】（不含超级树门票，如遇政策原因不开，费用不退）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花芭山-车游小印度-甘榜格南-苏丹回教堂-南洋药油世家-圣淘沙名胜世界-杜莎夫人蜡像馆-三宝山-马六甲海峡清真寺
                <w:br/>
                享用早餐，然后开始游览： 
                <w:br/>
                【花芭山】（约20分钟）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自由活动约60分钟）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【云上花园】（自由活动约60分钟）乘坐世界上最长的缆车，前往海拔 1700 米的Genting Highlands，这里是马来西亚最受欢迎的高原度假胜地，是马来西亚最大的娱乐城、体育设施，保罗万象、应有尽有，令人流连忘返。
                <w:br/>
                【莎罗马人行天桥】（约20分钟）Saloma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【双子星塔】（外观、夜拍）（约20分钟）马来西亚的标志性建筑；这幢外形独特的银色尖塔式建筑，号称世界最高的塔楼，是马来西亚经济蓬勃发展的象徵。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【亚罗街美食中心】（晚餐自理、约90分钟）本地人喜爱的美食中心，价格亲民，里面设置很多小摊位，下班时间这里非常热闹，我们加入其中，品尝最地道的马来味道。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