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XYMJ-20240224-SXY3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回程：三亚-广州AQ1112/22:50，最终航班以实际出票为准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5、航班参考：广州-三亚AQ1111/20:10-21:40（换季后参考：AQ1111/19:20-20:55、AQ1113/07:05-09:00），如出AQ九元航空机票行李额仅含15kg，不得指定航班，最终航班以实际出票为准。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景点：天涯海角、大小洞天、南山文化旅游区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三亚指定酒店：南山迎宾馆.禅悦房/南山休闲会馆.花园房，备选酒店：三亚丽禾华美达广场酒店.豪华海景房/三亚胜意海景度假酒店.180度海景房或不低于以上标准的备选酒店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
                <w:br/>
                自费项：海上娱乐项目等，选择性消费项目
                <w:br/>
              </w:t>
            </w:r>
          </w:p>
        </w:tc>
        <w:tc>
          <w:tcPr/>
          <w:p>
            <w:pPr>
              <w:pStyle w:val="indent"/>
            </w:pPr>
            <w:r>
              <w:rPr>
                <w:rFonts w:ascii="宋体" w:hAnsi="宋体" w:eastAsia="宋体" w:cs="宋体"/>
                <w:color w:val="000000"/>
                <w:sz w:val="20"/>
                <w:szCs w:val="20"/>
              </w:rPr>
              <w:t xml:space="preserve">早餐：酒店含早，不用费用不退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三亚-返回广州（飞行时间约70分钟）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3、航班参考：航班参考：，三亚-广州AQ1112/22:50-00:25+1（换季后参考：AQ1112/22:00-23:45），如出AQ九元航空机票行李额仅含15kg，不得指定航班，最终航班以实际出票为准。如指定航班，价格请单询。
                <w:br/>
                交通：旅游车+飞机
                <w:br/>
                景点：槟榔谷、亚龙湾沙滩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30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